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340"/>
        <w:gridCol w:w="2077"/>
        <w:gridCol w:w="1986"/>
      </w:tblGrid>
      <w:tr w:rsidR="008C77F8" w:rsidTr="00D54BF9">
        <w:trPr>
          <w:trHeight w:val="1148"/>
        </w:trPr>
        <w:tc>
          <w:tcPr>
            <w:tcW w:w="8275" w:type="dxa"/>
            <w:vAlign w:val="center"/>
          </w:tcPr>
          <w:p w:rsidR="008C77F8" w:rsidRPr="00737BC5" w:rsidRDefault="008C77F8" w:rsidP="008C77F8">
            <w:pPr>
              <w:jc w:val="center"/>
              <w:rPr>
                <w:b/>
              </w:rPr>
            </w:pPr>
            <w:r w:rsidRPr="008C77F8">
              <w:rPr>
                <w:b/>
                <w:color w:val="FF0000"/>
                <w:sz w:val="48"/>
              </w:rPr>
              <w:t xml:space="preserve">Generalizations from </w:t>
            </w:r>
            <w:r>
              <w:rPr>
                <w:b/>
                <w:color w:val="FF0000"/>
                <w:sz w:val="48"/>
              </w:rPr>
              <w:t>LABS</w:t>
            </w:r>
          </w:p>
        </w:tc>
        <w:tc>
          <w:tcPr>
            <w:tcW w:w="6403" w:type="dxa"/>
            <w:gridSpan w:val="3"/>
            <w:vAlign w:val="center"/>
          </w:tcPr>
          <w:p w:rsidR="008C77F8" w:rsidRPr="007B6F94" w:rsidRDefault="008C77F8" w:rsidP="008C77F8">
            <w:pPr>
              <w:tabs>
                <w:tab w:val="left" w:pos="3089"/>
              </w:tabs>
              <w:jc w:val="center"/>
              <w:rPr>
                <w:b/>
              </w:rPr>
            </w:pPr>
            <w:r>
              <w:rPr>
                <w:b/>
              </w:rPr>
              <w:t>Lab(s) where generalization was drawn from</w:t>
            </w:r>
          </w:p>
        </w:tc>
      </w:tr>
      <w:tr w:rsidR="008C77F8" w:rsidTr="008C77F8">
        <w:trPr>
          <w:trHeight w:val="1427"/>
        </w:trPr>
        <w:tc>
          <w:tcPr>
            <w:tcW w:w="8275" w:type="dxa"/>
            <w:vAlign w:val="center"/>
          </w:tcPr>
          <w:p w:rsidR="008C77F8" w:rsidRPr="001D6BA1" w:rsidRDefault="001D6BA1" w:rsidP="000C41EA">
            <w:pPr>
              <w:rPr>
                <w:b/>
                <w:color w:val="FF0000"/>
                <w:sz w:val="32"/>
                <w:szCs w:val="32"/>
              </w:rPr>
            </w:pPr>
            <w:r w:rsidRPr="001D6BA1">
              <w:rPr>
                <w:b/>
                <w:color w:val="FF0000"/>
                <w:sz w:val="32"/>
                <w:szCs w:val="32"/>
              </w:rPr>
              <w:t>An increase in temperature yields an increase in pressure</w:t>
            </w:r>
            <w:r w:rsidR="00BB2E72">
              <w:rPr>
                <w:b/>
                <w:color w:val="FF0000"/>
                <w:sz w:val="32"/>
                <w:szCs w:val="32"/>
              </w:rPr>
              <w:t xml:space="preserve">. </w:t>
            </w:r>
            <w:r w:rsidR="00BB2E72" w:rsidRPr="00BB2E72">
              <w:rPr>
                <w:b/>
                <w:color w:val="FF0000"/>
                <w:sz w:val="28"/>
              </w:rPr>
              <w:t>Changes in temperature affect attractive forces between particles and ultimately influence their properties.</w:t>
            </w:r>
          </w:p>
        </w:tc>
        <w:tc>
          <w:tcPr>
            <w:tcW w:w="2340" w:type="dxa"/>
          </w:tcPr>
          <w:p w:rsidR="008C77F8" w:rsidRPr="001D6BA1" w:rsidRDefault="001D6BA1" w:rsidP="000C41EA">
            <w:pPr>
              <w:rPr>
                <w:sz w:val="32"/>
                <w:szCs w:val="32"/>
              </w:rPr>
            </w:pPr>
            <w:r w:rsidRPr="001D6BA1">
              <w:rPr>
                <w:sz w:val="32"/>
                <w:szCs w:val="32"/>
              </w:rPr>
              <w:t>Lab 15B</w:t>
            </w:r>
          </w:p>
        </w:tc>
        <w:tc>
          <w:tcPr>
            <w:tcW w:w="2077" w:type="dxa"/>
          </w:tcPr>
          <w:p w:rsidR="008C77F8" w:rsidRDefault="001D6BA1" w:rsidP="000C41EA">
            <w:r>
              <w:t>Ba</w:t>
            </w:r>
            <w:r w:rsidR="00C66301">
              <w:t>lloon</w:t>
            </w:r>
          </w:p>
        </w:tc>
        <w:tc>
          <w:tcPr>
            <w:tcW w:w="1986" w:type="dxa"/>
          </w:tcPr>
          <w:p w:rsidR="008C77F8" w:rsidRDefault="008C77F8" w:rsidP="000C41EA"/>
        </w:tc>
      </w:tr>
      <w:tr w:rsidR="008C77F8" w:rsidTr="008C77F8">
        <w:trPr>
          <w:trHeight w:val="1509"/>
        </w:trPr>
        <w:tc>
          <w:tcPr>
            <w:tcW w:w="8275" w:type="dxa"/>
            <w:vAlign w:val="center"/>
          </w:tcPr>
          <w:p w:rsidR="008C77F8" w:rsidRPr="00D000F1" w:rsidRDefault="00C66301" w:rsidP="000C41EA">
            <w:pPr>
              <w:rPr>
                <w:b/>
                <w:color w:val="FF0000"/>
              </w:rPr>
            </w:pPr>
            <w:r w:rsidRPr="00C66301">
              <w:rPr>
                <w:b/>
                <w:color w:val="FF0000"/>
                <w:sz w:val="28"/>
              </w:rPr>
              <w:t>The stronger the intermolecular forces, the smaller the volume</w:t>
            </w:r>
            <w:r>
              <w:rPr>
                <w:b/>
                <w:color w:val="FF0000"/>
                <w:sz w:val="28"/>
              </w:rPr>
              <w:t xml:space="preserve"> and greater the density</w:t>
            </w:r>
            <w:r w:rsidRPr="00C66301">
              <w:rPr>
                <w:b/>
                <w:color w:val="FF0000"/>
                <w:sz w:val="28"/>
              </w:rPr>
              <w:t>.</w:t>
            </w:r>
          </w:p>
        </w:tc>
        <w:tc>
          <w:tcPr>
            <w:tcW w:w="2340" w:type="dxa"/>
          </w:tcPr>
          <w:p w:rsidR="008C77F8" w:rsidRPr="00C66301" w:rsidRDefault="00C66301" w:rsidP="000C41EA">
            <w:pPr>
              <w:rPr>
                <w:sz w:val="28"/>
                <w:szCs w:val="28"/>
              </w:rPr>
            </w:pPr>
            <w:r w:rsidRPr="00C66301">
              <w:rPr>
                <w:sz w:val="28"/>
                <w:szCs w:val="28"/>
              </w:rPr>
              <w:t>15A.3 (vanishing Volume)</w:t>
            </w:r>
          </w:p>
        </w:tc>
        <w:tc>
          <w:tcPr>
            <w:tcW w:w="2077" w:type="dxa"/>
          </w:tcPr>
          <w:p w:rsidR="008C77F8" w:rsidRPr="00D52DC2" w:rsidRDefault="00D52DC2" w:rsidP="000C41EA">
            <w:pPr>
              <w:rPr>
                <w:sz w:val="28"/>
                <w:szCs w:val="28"/>
              </w:rPr>
            </w:pPr>
            <w:r w:rsidRPr="00D52DC2">
              <w:rPr>
                <w:sz w:val="28"/>
                <w:szCs w:val="28"/>
              </w:rPr>
              <w:t>Lab 15A</w:t>
            </w:r>
          </w:p>
        </w:tc>
        <w:tc>
          <w:tcPr>
            <w:tcW w:w="1986" w:type="dxa"/>
          </w:tcPr>
          <w:p w:rsidR="008C77F8" w:rsidRDefault="008C77F8" w:rsidP="000C41EA"/>
        </w:tc>
      </w:tr>
      <w:tr w:rsidR="008C77F8" w:rsidTr="008C77F8">
        <w:trPr>
          <w:trHeight w:val="1509"/>
        </w:trPr>
        <w:tc>
          <w:tcPr>
            <w:tcW w:w="8275" w:type="dxa"/>
            <w:vAlign w:val="center"/>
          </w:tcPr>
          <w:p w:rsidR="008C77F8" w:rsidRPr="00D52DC2" w:rsidRDefault="00D52DC2" w:rsidP="000C41EA">
            <w:pPr>
              <w:rPr>
                <w:b/>
                <w:color w:val="FF0000"/>
                <w:sz w:val="28"/>
                <w:szCs w:val="28"/>
              </w:rPr>
            </w:pPr>
            <w:r w:rsidRPr="00D52DC2">
              <w:rPr>
                <w:b/>
                <w:color w:val="FF0000"/>
                <w:sz w:val="28"/>
                <w:szCs w:val="28"/>
              </w:rPr>
              <w:t>Heat causes substances to expand as their molecules’ kinetic energy increases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="00BB2E7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B2E72" w:rsidRPr="00BB2E72">
              <w:rPr>
                <w:b/>
                <w:color w:val="FF0000"/>
                <w:sz w:val="28"/>
              </w:rPr>
              <w:t>Transfer of energy takes place due to particle interaction and is influenced by the transfer material</w:t>
            </w:r>
          </w:p>
        </w:tc>
        <w:tc>
          <w:tcPr>
            <w:tcW w:w="2340" w:type="dxa"/>
          </w:tcPr>
          <w:p w:rsidR="008C77F8" w:rsidRPr="00D52DC2" w:rsidRDefault="00D52DC2" w:rsidP="000C41EA">
            <w:pPr>
              <w:rPr>
                <w:sz w:val="28"/>
                <w:szCs w:val="28"/>
              </w:rPr>
            </w:pPr>
            <w:r w:rsidRPr="00D52DC2">
              <w:rPr>
                <w:sz w:val="28"/>
                <w:szCs w:val="28"/>
              </w:rPr>
              <w:t>Ball and Ring</w:t>
            </w:r>
          </w:p>
        </w:tc>
        <w:tc>
          <w:tcPr>
            <w:tcW w:w="2077" w:type="dxa"/>
          </w:tcPr>
          <w:p w:rsidR="008C77F8" w:rsidRPr="00D52DC2" w:rsidRDefault="00D52DC2" w:rsidP="000C41EA">
            <w:pPr>
              <w:rPr>
                <w:sz w:val="28"/>
                <w:szCs w:val="28"/>
              </w:rPr>
            </w:pPr>
            <w:proofErr w:type="spellStart"/>
            <w:r w:rsidRPr="00D52DC2">
              <w:rPr>
                <w:sz w:val="28"/>
                <w:szCs w:val="28"/>
              </w:rPr>
              <w:t>BiMetallic</w:t>
            </w:r>
            <w:proofErr w:type="spellEnd"/>
            <w:r w:rsidRPr="00D52DC2">
              <w:rPr>
                <w:sz w:val="28"/>
                <w:szCs w:val="28"/>
              </w:rPr>
              <w:t xml:space="preserve"> Strip</w:t>
            </w:r>
          </w:p>
        </w:tc>
        <w:tc>
          <w:tcPr>
            <w:tcW w:w="1986" w:type="dxa"/>
          </w:tcPr>
          <w:p w:rsidR="008C77F8" w:rsidRPr="00484E0E" w:rsidRDefault="00484E0E" w:rsidP="000C41EA">
            <w:pPr>
              <w:rPr>
                <w:sz w:val="28"/>
                <w:szCs w:val="28"/>
              </w:rPr>
            </w:pPr>
            <w:r w:rsidRPr="00484E0E">
              <w:rPr>
                <w:sz w:val="28"/>
                <w:szCs w:val="28"/>
              </w:rPr>
              <w:t>15A &amp; B</w:t>
            </w:r>
          </w:p>
        </w:tc>
      </w:tr>
      <w:tr w:rsidR="008C77F8" w:rsidTr="008C77F8">
        <w:trPr>
          <w:trHeight w:val="1427"/>
        </w:trPr>
        <w:tc>
          <w:tcPr>
            <w:tcW w:w="8275" w:type="dxa"/>
            <w:vAlign w:val="center"/>
          </w:tcPr>
          <w:p w:rsidR="008C77F8" w:rsidRPr="00484E0E" w:rsidRDefault="00484E0E" w:rsidP="000C41EA">
            <w:pPr>
              <w:rPr>
                <w:b/>
                <w:color w:val="FF0000"/>
                <w:sz w:val="28"/>
                <w:szCs w:val="28"/>
              </w:rPr>
            </w:pPr>
            <w:r w:rsidRPr="00484E0E">
              <w:rPr>
                <w:b/>
                <w:color w:val="FF0000"/>
                <w:sz w:val="28"/>
                <w:szCs w:val="28"/>
              </w:rPr>
              <w:t>As we heated the middle of the wand, the metal rods heated up at different rates due to the electronegativity differences in the metals.</w:t>
            </w:r>
          </w:p>
        </w:tc>
        <w:tc>
          <w:tcPr>
            <w:tcW w:w="2340" w:type="dxa"/>
          </w:tcPr>
          <w:p w:rsidR="008C77F8" w:rsidRPr="00484E0E" w:rsidRDefault="00484E0E" w:rsidP="000C41EA">
            <w:pPr>
              <w:rPr>
                <w:sz w:val="28"/>
                <w:szCs w:val="28"/>
              </w:rPr>
            </w:pPr>
            <w:r w:rsidRPr="00484E0E">
              <w:rPr>
                <w:sz w:val="28"/>
                <w:szCs w:val="28"/>
              </w:rPr>
              <w:t>Five-Prong Metal Wand</w:t>
            </w:r>
          </w:p>
        </w:tc>
        <w:tc>
          <w:tcPr>
            <w:tcW w:w="2077" w:type="dxa"/>
          </w:tcPr>
          <w:p w:rsidR="008C77F8" w:rsidRPr="00C22193" w:rsidRDefault="00C22193" w:rsidP="000C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Bi-metallic Strip</w:t>
            </w:r>
          </w:p>
        </w:tc>
        <w:tc>
          <w:tcPr>
            <w:tcW w:w="1986" w:type="dxa"/>
          </w:tcPr>
          <w:p w:rsidR="008C77F8" w:rsidRDefault="008C77F8" w:rsidP="000C41EA"/>
        </w:tc>
      </w:tr>
      <w:tr w:rsidR="008C77F8" w:rsidTr="008C77F8">
        <w:trPr>
          <w:trHeight w:val="1509"/>
        </w:trPr>
        <w:tc>
          <w:tcPr>
            <w:tcW w:w="8275" w:type="dxa"/>
            <w:vAlign w:val="center"/>
          </w:tcPr>
          <w:p w:rsidR="008C77F8" w:rsidRPr="00D000F1" w:rsidRDefault="00C22193" w:rsidP="000C41EA">
            <w:pPr>
              <w:rPr>
                <w:b/>
                <w:color w:val="FF0000"/>
              </w:rPr>
            </w:pPr>
            <w:r w:rsidRPr="00C22193">
              <w:rPr>
                <w:b/>
                <w:color w:val="FF0000"/>
                <w:sz w:val="28"/>
              </w:rPr>
              <w:t>The oil stayed in the middle because it was less dense than the water but more dense than the alcohol</w:t>
            </w:r>
            <w:r>
              <w:rPr>
                <w:b/>
                <w:color w:val="FF0000"/>
                <w:sz w:val="28"/>
              </w:rPr>
              <w:t>.</w:t>
            </w:r>
            <w:r w:rsidR="00BB2E72">
              <w:rPr>
                <w:b/>
                <w:color w:val="FF0000"/>
                <w:sz w:val="28"/>
              </w:rPr>
              <w:t xml:space="preserve"> Density is influenced by intermolecular forces.   IMF affects the polarity of substances and therefore determines what substances are miscible. </w:t>
            </w:r>
          </w:p>
        </w:tc>
        <w:tc>
          <w:tcPr>
            <w:tcW w:w="2340" w:type="dxa"/>
          </w:tcPr>
          <w:p w:rsidR="008C77F8" w:rsidRDefault="001735E6" w:rsidP="000C41EA">
            <w:r w:rsidRPr="001735E6">
              <w:rPr>
                <w:sz w:val="28"/>
              </w:rPr>
              <w:t>Floating oil drop</w:t>
            </w:r>
          </w:p>
        </w:tc>
        <w:tc>
          <w:tcPr>
            <w:tcW w:w="2077" w:type="dxa"/>
          </w:tcPr>
          <w:p w:rsidR="008C77F8" w:rsidRDefault="008C77F8" w:rsidP="000C41EA"/>
        </w:tc>
        <w:tc>
          <w:tcPr>
            <w:tcW w:w="1986" w:type="dxa"/>
          </w:tcPr>
          <w:p w:rsidR="008C77F8" w:rsidRDefault="008C77F8" w:rsidP="000C41EA"/>
        </w:tc>
      </w:tr>
      <w:tr w:rsidR="00BB2E72" w:rsidTr="008C77F8">
        <w:trPr>
          <w:trHeight w:val="1427"/>
        </w:trPr>
        <w:tc>
          <w:tcPr>
            <w:tcW w:w="8275" w:type="dxa"/>
            <w:vAlign w:val="center"/>
          </w:tcPr>
          <w:p w:rsidR="00BB2E72" w:rsidRPr="00D000F1" w:rsidRDefault="00BB2E72" w:rsidP="00BB2E72">
            <w:pPr>
              <w:rPr>
                <w:b/>
                <w:color w:val="FF0000"/>
              </w:rPr>
            </w:pPr>
            <w:r w:rsidRPr="00BB2E72">
              <w:rPr>
                <w:b/>
                <w:color w:val="FF0000"/>
                <w:sz w:val="28"/>
              </w:rPr>
              <w:t>Particles are constantly moving or vibrating.  Interactions of particles are a function of their KE.</w:t>
            </w:r>
          </w:p>
        </w:tc>
        <w:tc>
          <w:tcPr>
            <w:tcW w:w="2340" w:type="dxa"/>
          </w:tcPr>
          <w:p w:rsidR="00BB2E72" w:rsidRDefault="00BB2E72" w:rsidP="00BB2E72"/>
        </w:tc>
        <w:tc>
          <w:tcPr>
            <w:tcW w:w="2077" w:type="dxa"/>
          </w:tcPr>
          <w:p w:rsidR="00BB2E72" w:rsidRDefault="00BB2E72" w:rsidP="00BB2E72"/>
        </w:tc>
        <w:tc>
          <w:tcPr>
            <w:tcW w:w="1986" w:type="dxa"/>
          </w:tcPr>
          <w:p w:rsidR="00BB2E72" w:rsidRDefault="00BB2E72" w:rsidP="00BB2E72"/>
        </w:tc>
      </w:tr>
    </w:tbl>
    <w:p w:rsidR="005201FD" w:rsidRDefault="005201FD">
      <w:bookmarkStart w:id="0" w:name="_GoBack"/>
      <w:bookmarkEnd w:id="0"/>
    </w:p>
    <w:sectPr w:rsidR="005201FD" w:rsidSect="008C77F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8"/>
    <w:rsid w:val="001735E6"/>
    <w:rsid w:val="001D6BA1"/>
    <w:rsid w:val="00484E0E"/>
    <w:rsid w:val="005201FD"/>
    <w:rsid w:val="008C77F8"/>
    <w:rsid w:val="00BB2E72"/>
    <w:rsid w:val="00C22193"/>
    <w:rsid w:val="00C66301"/>
    <w:rsid w:val="00D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C1B2-3CDD-4736-A7F9-AB267053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2</cp:revision>
  <dcterms:created xsi:type="dcterms:W3CDTF">2014-10-02T11:16:00Z</dcterms:created>
  <dcterms:modified xsi:type="dcterms:W3CDTF">2014-10-02T16:18:00Z</dcterms:modified>
</cp:coreProperties>
</file>